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D" w:rsidRPr="00D170D6" w:rsidRDefault="0086412D" w:rsidP="0086412D">
      <w:pPr>
        <w:pStyle w:val="Default"/>
        <w:spacing w:line="288" w:lineRule="auto"/>
        <w:ind w:right="-371" w:hanging="142"/>
        <w:jc w:val="center"/>
        <w:rPr>
          <w:b/>
          <w:bCs/>
          <w:sz w:val="28"/>
          <w:szCs w:val="28"/>
        </w:rPr>
      </w:pPr>
      <w:r w:rsidRPr="00D170D6">
        <w:rPr>
          <w:b/>
          <w:bCs/>
          <w:sz w:val="28"/>
          <w:szCs w:val="28"/>
        </w:rPr>
        <w:t>Informácie pre dotknuté osoby – deti, žiaci, rodičia, zákonní zástupcovia</w:t>
      </w:r>
    </w:p>
    <w:p w:rsidR="0086412D" w:rsidRPr="00304638" w:rsidRDefault="0086412D" w:rsidP="0086412D">
      <w:pPr>
        <w:pStyle w:val="Default"/>
        <w:jc w:val="center"/>
        <w:rPr>
          <w:b/>
          <w:bCs/>
        </w:rPr>
      </w:pPr>
      <w:r>
        <w:rPr>
          <w:b/>
          <w:bCs/>
        </w:rPr>
        <w:t>(Poskytované informácie, ak osobné údaje sú získané od dotknutej osoby, čl. 13, Nariadenia 2016/679 - GDPR, § 19 zákona č. 18/2018 Z.z. o ochrane osobných údajov</w:t>
      </w:r>
      <w:r w:rsidRPr="00304638">
        <w:rPr>
          <w:b/>
          <w:bCs/>
        </w:rPr>
        <w:t>)</w:t>
      </w:r>
    </w:p>
    <w:p w:rsidR="0086412D" w:rsidRPr="0075317B" w:rsidRDefault="0086412D" w:rsidP="0086412D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7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1 zákona č. 18/2018 Z.z.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497" w:type="dxa"/>
          </w:tcPr>
          <w:p w:rsidR="0086412D" w:rsidRPr="004A1CE6" w:rsidRDefault="0086412D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>Základná škola s materskou školou Klubina</w:t>
            </w:r>
          </w:p>
          <w:p w:rsidR="0086412D" w:rsidRPr="004A1CE6" w:rsidRDefault="0086412D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 xml:space="preserve">023 04 Klubina č. 157, Slovenská republika, IČO: </w:t>
            </w:r>
            <w:r w:rsidRPr="004A1CE6">
              <w:rPr>
                <w:rFonts w:asciiTheme="minorHAnsi" w:hAnsiTheme="minorHAnsi"/>
                <w:b/>
              </w:rPr>
              <w:t>37910400</w:t>
            </w:r>
          </w:p>
          <w:p w:rsidR="0086412D" w:rsidRPr="004A1CE6" w:rsidRDefault="0086412D" w:rsidP="002C0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CE6">
              <w:rPr>
                <w:rFonts w:asciiTheme="minorHAnsi" w:hAnsiTheme="minorHAnsi"/>
                <w:b/>
                <w:bCs/>
              </w:rPr>
              <w:t>Štatutárny zástupca: Mgr. Miriam Dudeková, poverená riadením školy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497" w:type="dxa"/>
          </w:tcPr>
          <w:p w:rsidR="0086412D" w:rsidRPr="00172466" w:rsidRDefault="0086412D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2466">
              <w:rPr>
                <w:rFonts w:asciiTheme="minorHAnsi" w:hAnsiTheme="minorHAnsi"/>
                <w:b/>
                <w:bCs/>
                <w:sz w:val="22"/>
                <w:szCs w:val="22"/>
              </w:rPr>
              <w:t>Zodpovedná osoba:</w:t>
            </w:r>
          </w:p>
          <w:p w:rsidR="0086412D" w:rsidRPr="00172466" w:rsidRDefault="0086412D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CE6">
              <w:rPr>
                <w:rFonts w:asciiTheme="minorHAnsi" w:hAnsiTheme="minorHAnsi"/>
                <w:b/>
                <w:bCs/>
                <w:sz w:val="22"/>
                <w:szCs w:val="22"/>
              </w:rPr>
              <w:t>Mgr. Miriam Dudeková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, č. telef. 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041/43</w:t>
            </w:r>
            <w:r>
              <w:rPr>
                <w:rFonts w:asciiTheme="minorHAnsi" w:hAnsiTheme="minorHAnsi"/>
                <w:sz w:val="22"/>
                <w:szCs w:val="22"/>
              </w:rPr>
              <w:t>95107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,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    mail: </w:t>
            </w:r>
            <w:hyperlink r:id="rId5" w:history="1">
              <w:r w:rsidRPr="00FB061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zsklubina@post.sk</w:t>
              </w:r>
            </w:hyperlink>
            <w:r w:rsidRPr="00172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497" w:type="dxa"/>
          </w:tcPr>
          <w:p w:rsidR="0086412D" w:rsidRPr="006660E1" w:rsidRDefault="0086412D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86412D" w:rsidRPr="003B3D81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na účely plnenia svojho hlavného poslania – zabezpečenie výchovnovzdelávacieho procesu a tiež na účely prezentácie školy.</w:t>
            </w:r>
          </w:p>
          <w:p w:rsidR="0086412D" w:rsidRPr="006660E1" w:rsidRDefault="0086412D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86412D" w:rsidRPr="006660E1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 v súlade so zákonom o ochrane osobných údajov </w:t>
            </w:r>
            <w:r w:rsidRPr="006660E1">
              <w:rPr>
                <w:rFonts w:asciiTheme="minorHAnsi" w:hAnsiTheme="minorHAnsi"/>
                <w:bCs/>
              </w:rPr>
              <w:t>na základe osobitných zákonov</w:t>
            </w:r>
            <w:r>
              <w:rPr>
                <w:rFonts w:asciiTheme="minorHAnsi" w:hAnsiTheme="minorHAnsi"/>
                <w:bCs/>
              </w:rPr>
              <w:t>, najmä školského zákona. Niektoré prípady spracúvania osobných údajov vykonáva na právnom základe súhlasu rodiča/zákonného zástupcu.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497" w:type="dxa"/>
          </w:tcPr>
          <w:p w:rsidR="0086412D" w:rsidRPr="006660E1" w:rsidRDefault="0086412D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86412D" w:rsidRPr="006660E1" w:rsidRDefault="0086412D" w:rsidP="002C0E5D">
            <w:pPr>
              <w:rPr>
                <w:rFonts w:asciiTheme="minorHAnsi" w:hAnsiTheme="minorHAnsi"/>
                <w:bCs/>
              </w:rPr>
            </w:pPr>
            <w:r w:rsidRPr="006660E1">
              <w:rPr>
                <w:rFonts w:asciiTheme="minorHAnsi" w:hAnsiTheme="minorHAnsi"/>
                <w:bCs/>
              </w:rPr>
              <w:t xml:space="preserve">Oprávnené záujmy uplatňuje </w:t>
            </w: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pri ochrane </w:t>
            </w:r>
            <w:r>
              <w:rPr>
                <w:rFonts w:asciiTheme="minorHAnsi" w:hAnsiTheme="minorHAnsi"/>
                <w:bCs/>
              </w:rPr>
              <w:t>svojho majetku ale aj plnení svojho poslania.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497" w:type="dxa"/>
          </w:tcPr>
          <w:p w:rsidR="0086412D" w:rsidRPr="006660E1" w:rsidRDefault="0086412D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86412D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poskytuje zásadne </w:t>
            </w:r>
            <w:r>
              <w:rPr>
                <w:rFonts w:asciiTheme="minorHAnsi" w:hAnsiTheme="minorHAnsi"/>
                <w:bCs/>
              </w:rPr>
              <w:t xml:space="preserve">osobné </w:t>
            </w:r>
            <w:r w:rsidRPr="006660E1">
              <w:rPr>
                <w:rFonts w:asciiTheme="minorHAnsi" w:hAnsiTheme="minorHAnsi"/>
                <w:bCs/>
              </w:rPr>
              <w:t>údaje</w:t>
            </w:r>
            <w:r>
              <w:rPr>
                <w:rFonts w:asciiTheme="minorHAnsi" w:hAnsiTheme="minorHAnsi"/>
                <w:bCs/>
              </w:rPr>
              <w:t xml:space="preserve"> 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iba zákonom stanoveným príjemcom (</w:t>
            </w:r>
            <w:r>
              <w:rPr>
                <w:rFonts w:asciiTheme="minorHAnsi" w:hAnsiTheme="minorHAnsi"/>
                <w:bCs/>
              </w:rPr>
              <w:t xml:space="preserve">zriaďovateľ, </w:t>
            </w:r>
            <w:r w:rsidRPr="006660E1">
              <w:rPr>
                <w:rFonts w:asciiTheme="minorHAnsi" w:hAnsiTheme="minorHAnsi"/>
                <w:bCs/>
              </w:rPr>
              <w:t>orgány štátnej moci, vyššie územné celky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86412D" w:rsidRPr="006660E1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 účely prezentácie školy na právnom základe súhlasu rodiča/ zákonného zástupcu poskytuje osobné údaje aj elektronickým alebo printovým médiám a tiež organizátorom akcií, na ktorých sa škola podieľa.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497" w:type="dxa"/>
          </w:tcPr>
          <w:p w:rsidR="0086412D" w:rsidRPr="006660E1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>
              <w:rPr>
                <w:rFonts w:asciiTheme="minorHAnsi" w:hAnsiTheme="minorHAnsi"/>
                <w:bCs/>
              </w:rPr>
              <w:t xml:space="preserve">žiadne osobné </w:t>
            </w:r>
            <w:r w:rsidRPr="006660E1">
              <w:rPr>
                <w:rFonts w:asciiTheme="minorHAnsi" w:hAnsiTheme="minorHAnsi"/>
                <w:bCs/>
              </w:rPr>
              <w:t xml:space="preserve"> údaje </w:t>
            </w:r>
            <w:r>
              <w:rPr>
                <w:rFonts w:asciiTheme="minorHAnsi" w:hAnsiTheme="minorHAnsi"/>
                <w:bCs/>
              </w:rPr>
              <w:t xml:space="preserve">detí, žiakov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do tretích krajín ani do medzinárodnej organizácie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7" w:type="dxa"/>
          </w:tcPr>
          <w:p w:rsidR="0086412D" w:rsidRPr="006660E1" w:rsidRDefault="0086412D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2 zákona č. 18/2018 Z.z.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>
              <w:rPr>
                <w:rFonts w:asciiTheme="minorHAnsi" w:hAnsiTheme="minorHAnsi"/>
                <w:bCs/>
              </w:rPr>
              <w:t xml:space="preserve"> 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>
              <w:rPr>
                <w:rFonts w:asciiTheme="minorHAnsi" w:hAnsiTheme="minorHAnsi"/>
                <w:bCs/>
              </w:rPr>
              <w:t xml:space="preserve">činnosť prevádzkovateľa 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>
              <w:rPr>
                <w:rFonts w:asciiTheme="minorHAnsi" w:hAnsiTheme="minorHAnsi"/>
                <w:bCs/>
              </w:rPr>
              <w:t>archivácie</w:t>
            </w:r>
            <w:r w:rsidRPr="000F0750">
              <w:rPr>
                <w:rFonts w:asciiTheme="minorHAnsi" w:hAnsiTheme="minorHAnsi"/>
                <w:bCs/>
              </w:rPr>
              <w:t xml:space="preserve"> a skartácie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</w:t>
            </w:r>
            <w:r>
              <w:rPr>
                <w:rFonts w:asciiTheme="minorHAnsi" w:hAnsiTheme="minorHAnsi"/>
                <w:bCs/>
              </w:rPr>
              <w:t xml:space="preserve">(zákonní zástupcovia) </w:t>
            </w:r>
            <w:r w:rsidRPr="000F0750">
              <w:rPr>
                <w:rFonts w:asciiTheme="minorHAnsi" w:hAnsiTheme="minorHAnsi"/>
                <w:bCs/>
              </w:rPr>
              <w:t>majú právo kedykoľvek svoj súhlas odvolať (ak sa údaje spracúvajú na základe súhlasu dotknutej osoby)</w:t>
            </w:r>
            <w:r>
              <w:rPr>
                <w:rFonts w:asciiTheme="minorHAnsi" w:hAnsiTheme="minorHAnsi"/>
                <w:bCs/>
              </w:rPr>
              <w:t xml:space="preserve"> bez toho, aby to malo vplyv na zákonnosť spracúvania pred odvolaním súhlasu.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právo na začatie konania podľa § 100 zákona č. 18/2018 Z.z.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>
              <w:rPr>
                <w:rFonts w:asciiTheme="minorHAnsi" w:hAnsiTheme="minorHAnsi"/>
                <w:bCs/>
              </w:rPr>
              <w:t xml:space="preserve"> – poskytovanie údajov je uložené príslušnými právnymi predpismi. Poskytovanie osobných údajov je povinné (právny základ školský zákon). Poskytovanie údajov na právnom základe súhlasu je dobrovoľné.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7" w:type="dxa"/>
          </w:tcPr>
          <w:p w:rsidR="0086412D" w:rsidRPr="000F0750" w:rsidRDefault="0086412D" w:rsidP="002C0E5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Z.z.</w:t>
            </w:r>
          </w:p>
        </w:tc>
      </w:tr>
      <w:tr w:rsidR="0086412D" w:rsidTr="002C0E5D">
        <w:tc>
          <w:tcPr>
            <w:tcW w:w="426" w:type="dxa"/>
          </w:tcPr>
          <w:p w:rsidR="0086412D" w:rsidRPr="006660E1" w:rsidRDefault="0086412D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7" w:type="dxa"/>
          </w:tcPr>
          <w:p w:rsidR="0086412D" w:rsidRPr="000F0750" w:rsidRDefault="0086412D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86412D" w:rsidRPr="00AD3D55" w:rsidRDefault="0086412D" w:rsidP="0086412D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86412D" w:rsidRDefault="0086412D" w:rsidP="0086412D">
      <w:pPr>
        <w:pStyle w:val="Default"/>
        <w:ind w:right="-369"/>
        <w:jc w:val="center"/>
        <w:rPr>
          <w:b/>
          <w:bCs/>
        </w:rPr>
      </w:pPr>
      <w:r w:rsidRPr="00153040">
        <w:rPr>
          <w:b/>
          <w:bCs/>
        </w:rPr>
        <w:t>Vyhlásenie</w:t>
      </w:r>
      <w:r w:rsidRPr="007E0D00">
        <w:rPr>
          <w:b/>
          <w:bCs/>
        </w:rPr>
        <w:t>.</w:t>
      </w:r>
    </w:p>
    <w:p w:rsidR="0086412D" w:rsidRPr="007E0D00" w:rsidRDefault="0086412D" w:rsidP="0086412D">
      <w:pPr>
        <w:pStyle w:val="Default"/>
        <w:ind w:right="-369"/>
        <w:jc w:val="center"/>
        <w:rPr>
          <w:b/>
          <w:bCs/>
        </w:rPr>
      </w:pPr>
      <w:r w:rsidRPr="007E0D00">
        <w:rPr>
          <w:b/>
          <w:bCs/>
        </w:rPr>
        <w:t xml:space="preserve">Prevádzkovateľ </w:t>
      </w:r>
      <w:r>
        <w:rPr>
          <w:b/>
          <w:bCs/>
        </w:rPr>
        <w:t>vy</w:t>
      </w:r>
      <w:r w:rsidRPr="007E0D00">
        <w:rPr>
          <w:b/>
          <w:bCs/>
        </w:rPr>
        <w:t xml:space="preserve">hlasuje, že pri spracúvaní osobných údajov plne dodržiava zákonné zásady ich spracúvania, dbá na ochranu osobných údajov, má prijaté primerané bezpečnostné opatrenia a berie ohľad na práva </w:t>
      </w:r>
      <w:r>
        <w:rPr>
          <w:b/>
          <w:bCs/>
        </w:rPr>
        <w:t>detí, žiakov, rodičov/</w:t>
      </w:r>
      <w:r w:rsidRPr="007E0D00">
        <w:rPr>
          <w:b/>
          <w:bCs/>
        </w:rPr>
        <w:t xml:space="preserve">zákonných zástupcov  </w:t>
      </w:r>
      <w:r>
        <w:rPr>
          <w:b/>
          <w:bCs/>
        </w:rPr>
        <w:t xml:space="preserve">ako </w:t>
      </w:r>
      <w:r w:rsidRPr="007E0D00">
        <w:rPr>
          <w:b/>
          <w:bCs/>
        </w:rPr>
        <w:t>dotknutých osôb.</w:t>
      </w:r>
    </w:p>
    <w:p w:rsidR="0086412D" w:rsidRDefault="0086412D" w:rsidP="0086412D">
      <w:pPr>
        <w:pStyle w:val="Default"/>
        <w:spacing w:line="288" w:lineRule="auto"/>
        <w:jc w:val="both"/>
        <w:rPr>
          <w:bCs/>
        </w:rPr>
      </w:pPr>
    </w:p>
    <w:p w:rsidR="00FC5554" w:rsidRDefault="0086412D" w:rsidP="0086412D">
      <w:pPr>
        <w:pStyle w:val="Default"/>
        <w:spacing w:line="288" w:lineRule="auto"/>
        <w:jc w:val="both"/>
      </w:pPr>
      <w:r>
        <w:rPr>
          <w:bCs/>
        </w:rPr>
        <w:t>V Klubine dňa: 25.05.2018</w:t>
      </w:r>
      <w:bookmarkStart w:id="0" w:name="_GoBack"/>
      <w:bookmarkEnd w:id="0"/>
    </w:p>
    <w:sectPr w:rsidR="00FC5554" w:rsidSect="0086412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D"/>
    <w:rsid w:val="001B2DAF"/>
    <w:rsid w:val="0086412D"/>
    <w:rsid w:val="008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64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64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lubin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2018-08-30T20:04:00Z</dcterms:created>
  <dcterms:modified xsi:type="dcterms:W3CDTF">2018-08-30T20:04:00Z</dcterms:modified>
</cp:coreProperties>
</file>